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F1" w:rsidRPr="00B94437" w:rsidRDefault="00B94437">
      <w:pPr>
        <w:rPr>
          <w:b/>
          <w:sz w:val="28"/>
          <w:szCs w:val="28"/>
        </w:rPr>
      </w:pPr>
      <w:r>
        <w:rPr>
          <w:b/>
          <w:sz w:val="28"/>
          <w:szCs w:val="28"/>
        </w:rPr>
        <w:t>Отчё</w:t>
      </w:r>
      <w:r w:rsidR="00243769" w:rsidRPr="00B94437">
        <w:rPr>
          <w:b/>
          <w:sz w:val="28"/>
          <w:szCs w:val="28"/>
        </w:rPr>
        <w:t xml:space="preserve">т по независимой оценке качества образовательной деятельности в МБДОУ  КГО детский сад </w:t>
      </w:r>
      <w:r w:rsidR="00243769" w:rsidRPr="00B94437">
        <w:rPr>
          <w:b/>
          <w:sz w:val="28"/>
          <w:szCs w:val="28"/>
          <w:lang w:val="en-US"/>
        </w:rPr>
        <w:t>N</w:t>
      </w:r>
      <w:r w:rsidR="00243769" w:rsidRPr="00B94437">
        <w:rPr>
          <w:b/>
          <w:sz w:val="28"/>
          <w:szCs w:val="28"/>
        </w:rPr>
        <w:t>37</w:t>
      </w:r>
      <w:r w:rsidRPr="00B94437">
        <w:rPr>
          <w:b/>
          <w:sz w:val="28"/>
          <w:szCs w:val="28"/>
        </w:rPr>
        <w:t xml:space="preserve"> среди дошкольных образовательных организаций, находящихся на территории Кемеровской области - Кузбасса</w:t>
      </w:r>
    </w:p>
    <w:tbl>
      <w:tblPr>
        <w:tblStyle w:val="a3"/>
        <w:tblW w:w="0" w:type="auto"/>
        <w:tblLayout w:type="fixed"/>
        <w:tblLook w:val="04A0"/>
      </w:tblPr>
      <w:tblGrid>
        <w:gridCol w:w="1668"/>
        <w:gridCol w:w="1701"/>
        <w:gridCol w:w="1417"/>
        <w:gridCol w:w="1500"/>
        <w:gridCol w:w="1511"/>
        <w:gridCol w:w="816"/>
        <w:gridCol w:w="1134"/>
        <w:gridCol w:w="2820"/>
        <w:gridCol w:w="2219"/>
      </w:tblGrid>
      <w:tr w:rsidR="00243769" w:rsidTr="001F66D9">
        <w:trPr>
          <w:trHeight w:val="372"/>
        </w:trPr>
        <w:tc>
          <w:tcPr>
            <w:tcW w:w="9747" w:type="dxa"/>
            <w:gridSpan w:val="7"/>
          </w:tcPr>
          <w:p w:rsidR="00243769" w:rsidRPr="001F66D9" w:rsidRDefault="00243769" w:rsidP="00B36085">
            <w:pPr>
              <w:rPr>
                <w:b/>
              </w:rPr>
            </w:pPr>
          </w:p>
          <w:p w:rsidR="00243769" w:rsidRPr="001F66D9" w:rsidRDefault="00243769" w:rsidP="00B36085">
            <w:pPr>
              <w:rPr>
                <w:b/>
              </w:rPr>
            </w:pPr>
          </w:p>
          <w:p w:rsidR="00243769" w:rsidRPr="001F66D9" w:rsidRDefault="00243769" w:rsidP="00B36085">
            <w:pPr>
              <w:rPr>
                <w:b/>
              </w:rPr>
            </w:pPr>
          </w:p>
          <w:p w:rsidR="00243769" w:rsidRPr="001F66D9" w:rsidRDefault="00243769" w:rsidP="001F66D9">
            <w:pPr>
              <w:jc w:val="center"/>
              <w:rPr>
                <w:b/>
              </w:rPr>
            </w:pPr>
            <w:r w:rsidRPr="001F66D9">
              <w:rPr>
                <w:b/>
              </w:rPr>
              <w:t>Суммарный балл по показателям в рамках критерия независимой оценки</w:t>
            </w:r>
          </w:p>
          <w:p w:rsidR="00243769" w:rsidRPr="001F66D9" w:rsidRDefault="00243769" w:rsidP="001F66D9">
            <w:pPr>
              <w:jc w:val="center"/>
              <w:rPr>
                <w:b/>
              </w:rPr>
            </w:pPr>
          </w:p>
          <w:p w:rsidR="00243769" w:rsidRPr="001F66D9" w:rsidRDefault="00243769" w:rsidP="001F66D9">
            <w:pPr>
              <w:jc w:val="center"/>
              <w:rPr>
                <w:b/>
              </w:rPr>
            </w:pPr>
          </w:p>
          <w:p w:rsidR="00243769" w:rsidRPr="001F66D9" w:rsidRDefault="00243769" w:rsidP="00B36085">
            <w:pPr>
              <w:rPr>
                <w:b/>
              </w:rPr>
            </w:pPr>
          </w:p>
          <w:p w:rsidR="00243769" w:rsidRPr="001F66D9" w:rsidRDefault="00243769" w:rsidP="00243769">
            <w:pPr>
              <w:rPr>
                <w:b/>
              </w:rPr>
            </w:pPr>
          </w:p>
        </w:tc>
        <w:tc>
          <w:tcPr>
            <w:tcW w:w="2820" w:type="dxa"/>
            <w:vMerge w:val="restart"/>
          </w:tcPr>
          <w:p w:rsidR="00243769" w:rsidRPr="001F66D9" w:rsidRDefault="00243769" w:rsidP="00B36085">
            <w:pPr>
              <w:rPr>
                <w:b/>
              </w:rPr>
            </w:pPr>
            <w:r w:rsidRPr="001F66D9">
              <w:rPr>
                <w:b/>
              </w:rPr>
              <w:t>Замечания организации-оператора</w:t>
            </w:r>
          </w:p>
        </w:tc>
        <w:tc>
          <w:tcPr>
            <w:tcW w:w="2219" w:type="dxa"/>
            <w:vMerge w:val="restart"/>
          </w:tcPr>
          <w:p w:rsidR="00243769" w:rsidRPr="001F66D9" w:rsidRDefault="00243769" w:rsidP="00B36085">
            <w:pPr>
              <w:rPr>
                <w:b/>
              </w:rPr>
            </w:pPr>
            <w:r w:rsidRPr="001F66D9">
              <w:rPr>
                <w:b/>
              </w:rPr>
              <w:t>Рекомендуется предусмотреть в Плане деятельности организации по устранению недостатков, выявленных в ходе проведения независимой оценки</w:t>
            </w:r>
            <w:r w:rsidR="00EC650B" w:rsidRPr="001F66D9">
              <w:rPr>
                <w:b/>
              </w:rPr>
              <w:t xml:space="preserve"> </w:t>
            </w:r>
          </w:p>
        </w:tc>
      </w:tr>
      <w:tr w:rsidR="001F66D9" w:rsidTr="001F66D9">
        <w:trPr>
          <w:trHeight w:val="2658"/>
        </w:trPr>
        <w:tc>
          <w:tcPr>
            <w:tcW w:w="1668" w:type="dxa"/>
          </w:tcPr>
          <w:p w:rsidR="00243769" w:rsidRPr="001F66D9" w:rsidRDefault="00243769" w:rsidP="00243769">
            <w:pPr>
              <w:rPr>
                <w:b/>
              </w:rPr>
            </w:pPr>
            <w:r w:rsidRPr="001F66D9">
              <w:rPr>
                <w:b/>
              </w:rPr>
              <w:t xml:space="preserve">Открытость и доступность информации об организациях, </w:t>
            </w:r>
            <w:proofErr w:type="spellStart"/>
            <w:r w:rsidRPr="001F66D9">
              <w:rPr>
                <w:b/>
              </w:rPr>
              <w:t>осуществляю-щих</w:t>
            </w:r>
            <w:proofErr w:type="spellEnd"/>
            <w:r w:rsidRPr="001F66D9">
              <w:rPr>
                <w:b/>
              </w:rPr>
              <w:t xml:space="preserve"> образовательную деятельность (К</w:t>
            </w:r>
            <w:proofErr w:type="gramStart"/>
            <w:r w:rsidRPr="001F66D9">
              <w:rPr>
                <w:b/>
              </w:rPr>
              <w:t>1</w:t>
            </w:r>
            <w:proofErr w:type="gramEnd"/>
            <w:r w:rsidRPr="001F66D9">
              <w:rPr>
                <w:b/>
              </w:rPr>
              <w:t>)</w:t>
            </w:r>
          </w:p>
        </w:tc>
        <w:tc>
          <w:tcPr>
            <w:tcW w:w="1701" w:type="dxa"/>
          </w:tcPr>
          <w:p w:rsidR="00243769" w:rsidRPr="001F66D9" w:rsidRDefault="00243769" w:rsidP="00B36085">
            <w:pPr>
              <w:rPr>
                <w:b/>
              </w:rPr>
            </w:pPr>
            <w:r w:rsidRPr="001F66D9">
              <w:rPr>
                <w:b/>
              </w:rPr>
              <w:t xml:space="preserve">Комфортность условий, в которых </w:t>
            </w:r>
            <w:proofErr w:type="spellStart"/>
            <w:r w:rsidRPr="001F66D9">
              <w:rPr>
                <w:b/>
              </w:rPr>
              <w:t>осуществ-ляется</w:t>
            </w:r>
            <w:proofErr w:type="spellEnd"/>
            <w:r w:rsidRPr="001F66D9">
              <w:rPr>
                <w:b/>
              </w:rPr>
              <w:t xml:space="preserve"> </w:t>
            </w:r>
            <w:proofErr w:type="spellStart"/>
            <w:r w:rsidRPr="001F66D9">
              <w:rPr>
                <w:b/>
              </w:rPr>
              <w:t>образова-тельная</w:t>
            </w:r>
            <w:proofErr w:type="spellEnd"/>
            <w:r w:rsidRPr="001F66D9">
              <w:rPr>
                <w:b/>
              </w:rPr>
              <w:t xml:space="preserve"> деятельность (К</w:t>
            </w:r>
            <w:proofErr w:type="gramStart"/>
            <w:r w:rsidRPr="001F66D9">
              <w:rPr>
                <w:b/>
              </w:rPr>
              <w:t>2</w:t>
            </w:r>
            <w:proofErr w:type="gramEnd"/>
            <w:r w:rsidRPr="001F66D9">
              <w:rPr>
                <w:b/>
              </w:rPr>
              <w:t>)</w:t>
            </w:r>
          </w:p>
          <w:p w:rsidR="00243769" w:rsidRPr="001F66D9" w:rsidRDefault="00243769" w:rsidP="00243769">
            <w:pPr>
              <w:rPr>
                <w:b/>
              </w:rPr>
            </w:pPr>
          </w:p>
        </w:tc>
        <w:tc>
          <w:tcPr>
            <w:tcW w:w="1417" w:type="dxa"/>
          </w:tcPr>
          <w:p w:rsidR="00243769" w:rsidRPr="001F66D9" w:rsidRDefault="00243769" w:rsidP="00B36085">
            <w:pPr>
              <w:rPr>
                <w:b/>
              </w:rPr>
            </w:pPr>
            <w:r w:rsidRPr="001F66D9">
              <w:rPr>
                <w:b/>
              </w:rPr>
              <w:t>Доступность услуг для инвалидов (К3)</w:t>
            </w:r>
          </w:p>
        </w:tc>
        <w:tc>
          <w:tcPr>
            <w:tcW w:w="1500" w:type="dxa"/>
          </w:tcPr>
          <w:p w:rsidR="00243769" w:rsidRPr="001F66D9" w:rsidRDefault="00243769" w:rsidP="00B36085">
            <w:pPr>
              <w:rPr>
                <w:b/>
              </w:rPr>
            </w:pPr>
            <w:proofErr w:type="spellStart"/>
            <w:r w:rsidRPr="001F66D9">
              <w:rPr>
                <w:b/>
              </w:rPr>
              <w:t>Доброжела-тельность</w:t>
            </w:r>
            <w:proofErr w:type="spellEnd"/>
            <w:r w:rsidRPr="001F66D9">
              <w:rPr>
                <w:b/>
              </w:rPr>
              <w:t>, вежливость работников (К</w:t>
            </w:r>
            <w:proofErr w:type="gramStart"/>
            <w:r w:rsidRPr="001F66D9">
              <w:rPr>
                <w:b/>
              </w:rPr>
              <w:t>4</w:t>
            </w:r>
            <w:proofErr w:type="gramEnd"/>
            <w:r w:rsidRPr="001F66D9">
              <w:rPr>
                <w:b/>
              </w:rPr>
              <w:t>)</w:t>
            </w:r>
          </w:p>
        </w:tc>
        <w:tc>
          <w:tcPr>
            <w:tcW w:w="1511" w:type="dxa"/>
          </w:tcPr>
          <w:p w:rsidR="00243769" w:rsidRPr="001F66D9" w:rsidRDefault="00243769" w:rsidP="00243769">
            <w:pPr>
              <w:rPr>
                <w:b/>
              </w:rPr>
            </w:pPr>
            <w:proofErr w:type="spellStart"/>
            <w:proofErr w:type="gramStart"/>
            <w:r w:rsidRPr="001F66D9">
              <w:rPr>
                <w:b/>
              </w:rPr>
              <w:t>Удовлетво-ренность</w:t>
            </w:r>
            <w:proofErr w:type="spellEnd"/>
            <w:proofErr w:type="gramEnd"/>
            <w:r w:rsidRPr="001F66D9">
              <w:rPr>
                <w:b/>
              </w:rPr>
              <w:t xml:space="preserve"> условиями ведения </w:t>
            </w:r>
            <w:proofErr w:type="spellStart"/>
            <w:r w:rsidRPr="001F66D9">
              <w:rPr>
                <w:b/>
              </w:rPr>
              <w:t>образова-тельной</w:t>
            </w:r>
            <w:proofErr w:type="spellEnd"/>
            <w:r w:rsidRPr="001F66D9">
              <w:rPr>
                <w:b/>
              </w:rPr>
              <w:t xml:space="preserve"> деятельности организаций (К5)</w:t>
            </w:r>
          </w:p>
        </w:tc>
        <w:tc>
          <w:tcPr>
            <w:tcW w:w="816" w:type="dxa"/>
          </w:tcPr>
          <w:p w:rsidR="00243769" w:rsidRPr="001F66D9" w:rsidRDefault="00243769" w:rsidP="00243769">
            <w:pPr>
              <w:rPr>
                <w:b/>
              </w:rPr>
            </w:pPr>
            <w:r w:rsidRPr="001F66D9">
              <w:rPr>
                <w:b/>
              </w:rPr>
              <w:t>Итоговый балл</w:t>
            </w:r>
          </w:p>
        </w:tc>
        <w:tc>
          <w:tcPr>
            <w:tcW w:w="1134" w:type="dxa"/>
          </w:tcPr>
          <w:p w:rsidR="00243769" w:rsidRPr="001F66D9" w:rsidRDefault="00243769" w:rsidP="00243769">
            <w:pPr>
              <w:rPr>
                <w:b/>
              </w:rPr>
            </w:pPr>
            <w:r w:rsidRPr="001F66D9">
              <w:rPr>
                <w:b/>
              </w:rPr>
              <w:t>Место в рейтинге</w:t>
            </w:r>
          </w:p>
        </w:tc>
        <w:tc>
          <w:tcPr>
            <w:tcW w:w="2820" w:type="dxa"/>
            <w:vMerge/>
          </w:tcPr>
          <w:p w:rsidR="00243769" w:rsidRPr="00243769" w:rsidRDefault="00243769" w:rsidP="00B36085"/>
        </w:tc>
        <w:tc>
          <w:tcPr>
            <w:tcW w:w="2219" w:type="dxa"/>
            <w:vMerge/>
          </w:tcPr>
          <w:p w:rsidR="00243769" w:rsidRPr="00243769" w:rsidRDefault="00243769" w:rsidP="00B36085"/>
        </w:tc>
      </w:tr>
      <w:tr w:rsidR="001F66D9" w:rsidRPr="001F66D9" w:rsidTr="001F66D9">
        <w:trPr>
          <w:trHeight w:val="1250"/>
        </w:trPr>
        <w:tc>
          <w:tcPr>
            <w:tcW w:w="1668" w:type="dxa"/>
          </w:tcPr>
          <w:p w:rsidR="00EC650B" w:rsidRPr="00243769" w:rsidRDefault="00EC650B" w:rsidP="00243769">
            <w:r w:rsidRPr="00B94437">
              <w:t>96,7</w:t>
            </w:r>
          </w:p>
        </w:tc>
        <w:tc>
          <w:tcPr>
            <w:tcW w:w="1701" w:type="dxa"/>
          </w:tcPr>
          <w:p w:rsidR="00EC650B" w:rsidRPr="00243769" w:rsidRDefault="00EC650B" w:rsidP="00243769">
            <w:r w:rsidRPr="00B94437">
              <w:t>100</w:t>
            </w:r>
          </w:p>
        </w:tc>
        <w:tc>
          <w:tcPr>
            <w:tcW w:w="1417" w:type="dxa"/>
          </w:tcPr>
          <w:p w:rsidR="00EC650B" w:rsidRPr="00243769" w:rsidRDefault="00EC650B" w:rsidP="00243769">
            <w:r w:rsidRPr="00B94437">
              <w:t>32</w:t>
            </w:r>
          </w:p>
        </w:tc>
        <w:tc>
          <w:tcPr>
            <w:tcW w:w="1500" w:type="dxa"/>
          </w:tcPr>
          <w:p w:rsidR="00EC650B" w:rsidRPr="00243769" w:rsidRDefault="00EC650B" w:rsidP="00B36085">
            <w:r w:rsidRPr="00B94437">
              <w:rPr>
                <w:lang w:val="en-US"/>
              </w:rPr>
              <w:t>99,6</w:t>
            </w:r>
          </w:p>
        </w:tc>
        <w:tc>
          <w:tcPr>
            <w:tcW w:w="1511" w:type="dxa"/>
          </w:tcPr>
          <w:p w:rsidR="00EC650B" w:rsidRPr="00243769" w:rsidRDefault="00EC650B" w:rsidP="00243769">
            <w:r w:rsidRPr="00B94437">
              <w:t>92,5</w:t>
            </w:r>
          </w:p>
        </w:tc>
        <w:tc>
          <w:tcPr>
            <w:tcW w:w="816" w:type="dxa"/>
          </w:tcPr>
          <w:p w:rsidR="00EC650B" w:rsidRPr="00243769" w:rsidRDefault="00EC650B" w:rsidP="00243769">
            <w:r w:rsidRPr="00B94437">
              <w:t>84,16</w:t>
            </w:r>
          </w:p>
        </w:tc>
        <w:tc>
          <w:tcPr>
            <w:tcW w:w="1134" w:type="dxa"/>
          </w:tcPr>
          <w:p w:rsidR="00EC650B" w:rsidRPr="00243769" w:rsidRDefault="00EC650B" w:rsidP="00243769">
            <w:r w:rsidRPr="00243769">
              <w:t>643</w:t>
            </w:r>
          </w:p>
        </w:tc>
        <w:tc>
          <w:tcPr>
            <w:tcW w:w="2820" w:type="dxa"/>
          </w:tcPr>
          <w:p w:rsidR="00EC650B" w:rsidRPr="001F66D9" w:rsidRDefault="00EC650B" w:rsidP="001F66D9">
            <w:r w:rsidRPr="001F66D9">
              <w:t xml:space="preserve">Отсутствуют (в том числе частично) материалы: САЙТ: Материально-техническое обеспечение и оснащенность образовательного процесса Информация об обеспечении доступа в здания образовательной организации инвалидов и лиц с ограниченными возможностями </w:t>
            </w:r>
            <w:proofErr w:type="spellStart"/>
            <w:r w:rsidRPr="001F66D9">
              <w:lastRenderedPageBreak/>
              <w:t>здоровьяСАЙТ</w:t>
            </w:r>
            <w:proofErr w:type="spellEnd"/>
            <w:r w:rsidRPr="001F66D9">
              <w:t xml:space="preserve">: Материально-техническое обеспечение и оснащенность образовательного процесса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w:t>
            </w:r>
            <w:proofErr w:type="spellStart"/>
            <w:r w:rsidRPr="001F66D9">
              <w:t>здоровьяСАЙТ</w:t>
            </w:r>
            <w:proofErr w:type="spellEnd"/>
            <w:r w:rsidRPr="001F66D9">
              <w:t xml:space="preserve">: Доступная среда Информация о специальных условиях для обучения инвалидов и лиц с ограниченными возможностями здоровья, в том </w:t>
            </w:r>
            <w:proofErr w:type="spellStart"/>
            <w:r w:rsidRPr="001F66D9">
              <w:t>числе</w:t>
            </w:r>
            <w:proofErr w:type="gramStart"/>
            <w:r w:rsidRPr="001F66D9">
              <w:t>:О</w:t>
            </w:r>
            <w:proofErr w:type="spellEnd"/>
            <w:proofErr w:type="gramEnd"/>
            <w:r w:rsidRPr="001F66D9">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w:t>
            </w:r>
            <w:proofErr w:type="spellStart"/>
            <w:r w:rsidRPr="001F66D9">
              <w:t>здоровьяСАЙТ</w:t>
            </w:r>
            <w:proofErr w:type="spellEnd"/>
            <w:r w:rsidRPr="001F66D9">
              <w:t xml:space="preserve">: Доступная среда Информация о </w:t>
            </w:r>
            <w:r w:rsidRPr="001F66D9">
              <w:lastRenderedPageBreak/>
              <w:t xml:space="preserve">специальных условиях для обучения инвалидов и лиц с ограниченными возможностями здоровья, в том </w:t>
            </w:r>
            <w:proofErr w:type="spellStart"/>
            <w:r w:rsidRPr="001F66D9">
              <w:t>числе</w:t>
            </w:r>
            <w:proofErr w:type="gramStart"/>
            <w:r w:rsidRPr="001F66D9">
              <w:t>:О</w:t>
            </w:r>
            <w:proofErr w:type="gramEnd"/>
            <w:r w:rsidRPr="001F66D9">
              <w:t>б</w:t>
            </w:r>
            <w:proofErr w:type="spellEnd"/>
            <w:r w:rsidRPr="001F66D9">
              <w:t xml:space="preserve"> обеспечении беспрепятственного доступа в здания образовательной </w:t>
            </w:r>
            <w:proofErr w:type="spellStart"/>
            <w:r w:rsidRPr="001F66D9">
              <w:t>организацииСАЙТ</w:t>
            </w:r>
            <w:proofErr w:type="spellEnd"/>
            <w:r w:rsidRPr="001F66D9">
              <w:t xml:space="preserve">: Доступная среда Информация о специальных условиях для обучения инвалидов и лиц с ограниченными возможностями здоровья, в том </w:t>
            </w:r>
            <w:proofErr w:type="spellStart"/>
            <w:r w:rsidRPr="001F66D9">
              <w:t>числе</w:t>
            </w:r>
            <w:proofErr w:type="gramStart"/>
            <w:r w:rsidRPr="001F66D9">
              <w:t>:О</w:t>
            </w:r>
            <w:proofErr w:type="spellEnd"/>
            <w:proofErr w:type="gramEnd"/>
            <w:r w:rsidRPr="001F66D9">
              <w:t xml:space="preserve"> специальных условиях </w:t>
            </w:r>
            <w:proofErr w:type="spellStart"/>
            <w:r w:rsidRPr="001F66D9">
              <w:t>питанияСАЙТ</w:t>
            </w:r>
            <w:proofErr w:type="spellEnd"/>
            <w:r w:rsidRPr="001F66D9">
              <w:t xml:space="preserve">: Доступная среда Информация о специальных условиях для обучения инвалидов и лиц с ограниченными возможностями здоровья, в том </w:t>
            </w:r>
            <w:proofErr w:type="spellStart"/>
            <w:r w:rsidRPr="001F66D9">
              <w:t>числе</w:t>
            </w:r>
            <w:proofErr w:type="gramStart"/>
            <w:r w:rsidRPr="001F66D9">
              <w:t>:О</w:t>
            </w:r>
            <w:proofErr w:type="spellEnd"/>
            <w:proofErr w:type="gramEnd"/>
            <w:r w:rsidRPr="001F66D9">
              <w:t xml:space="preserve"> специальных условиях охраны </w:t>
            </w:r>
            <w:proofErr w:type="spellStart"/>
            <w:r w:rsidRPr="001F66D9">
              <w:t>здоровьяСАЙТ</w:t>
            </w:r>
            <w:proofErr w:type="spellEnd"/>
            <w:r w:rsidRPr="001F66D9">
              <w:t xml:space="preserve">: Доступная среда Информация о специальных условиях для обучения инвалидов и лиц с ограниченными среда Информация о специальных условиях для обучения инвалидов и лиц </w:t>
            </w:r>
            <w:r w:rsidRPr="001F66D9">
              <w:lastRenderedPageBreak/>
              <w:t xml:space="preserve">с ограниченными возможностями здоровья, в том </w:t>
            </w:r>
            <w:proofErr w:type="spellStart"/>
            <w:r w:rsidRPr="001F66D9">
              <w:t>числе</w:t>
            </w:r>
            <w:proofErr w:type="gramStart"/>
            <w:r w:rsidRPr="001F66D9">
              <w:t>:О</w:t>
            </w:r>
            <w:proofErr w:type="spellEnd"/>
            <w:proofErr w:type="gramEnd"/>
            <w:r w:rsidRPr="001F66D9">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w:t>
            </w:r>
            <w:proofErr w:type="spellStart"/>
            <w:r w:rsidRPr="001F66D9">
              <w:t>здоровьяСАЙТ</w:t>
            </w:r>
            <w:proofErr w:type="spellEnd"/>
            <w:r w:rsidRPr="001F66D9">
              <w:t xml:space="preserve">: Доступная среда Информация о специальных условиях для обучения инвалидов и лиц с ограниченными возможностями здоровья, в том </w:t>
            </w:r>
            <w:proofErr w:type="spellStart"/>
            <w:r w:rsidRPr="001F66D9">
              <w:t>числе</w:t>
            </w:r>
            <w:proofErr w:type="gramStart"/>
            <w:r w:rsidRPr="001F66D9">
              <w:t>:О</w:t>
            </w:r>
            <w:proofErr w:type="gramEnd"/>
            <w:r w:rsidRPr="001F66D9">
              <w:t>б</w:t>
            </w:r>
            <w:proofErr w:type="spellEnd"/>
            <w:r w:rsidRPr="001F66D9">
              <w:t xml:space="preserve"> электронных образовательных ресурсах, к которым обеспечивается доступ инвалидов и лиц с ограниченными возможностями </w:t>
            </w:r>
            <w:proofErr w:type="spellStart"/>
            <w:r w:rsidRPr="001F66D9">
              <w:t>здоровьяСАЙТ</w:t>
            </w:r>
            <w:proofErr w:type="spellEnd"/>
            <w:r w:rsidRPr="001F66D9">
              <w:t xml:space="preserve">: Доступная возможностями здоровья, в том </w:t>
            </w:r>
            <w:proofErr w:type="spellStart"/>
            <w:r w:rsidRPr="001F66D9">
              <w:t>числе</w:t>
            </w:r>
            <w:proofErr w:type="gramStart"/>
            <w:r w:rsidRPr="001F66D9">
              <w:t>:О</w:t>
            </w:r>
            <w:proofErr w:type="spellEnd"/>
            <w:proofErr w:type="gramEnd"/>
            <w:r w:rsidRPr="001F66D9">
              <w:t xml:space="preserve"> наличии специальных технических средств обучения коллективного и индивидуального </w:t>
            </w:r>
            <w:proofErr w:type="spellStart"/>
            <w:r w:rsidRPr="001F66D9">
              <w:t>пользованияСАЙТ</w:t>
            </w:r>
            <w:proofErr w:type="spellEnd"/>
            <w:r w:rsidRPr="001F66D9">
              <w:t xml:space="preserve">: </w:t>
            </w:r>
            <w:proofErr w:type="gramStart"/>
            <w:r w:rsidRPr="001F66D9">
              <w:t xml:space="preserve">Информация о количестве </w:t>
            </w:r>
            <w:r w:rsidRPr="001F66D9">
              <w:lastRenderedPageBreak/>
              <w:t>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Необходимые условия комфорта присутствуют.</w:t>
            </w:r>
            <w:proofErr w:type="gramEnd"/>
            <w:r w:rsidRPr="001F66D9">
              <w:t xml:space="preserve"> Отсутствуют следующие условия доступной среды: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Оборудование территории, прилегающей к образовательной организации, и ее помещений с учетом </w:t>
            </w:r>
            <w:r w:rsidRPr="001F66D9">
              <w:lastRenderedPageBreak/>
              <w:t xml:space="preserve">доступности инвалидов: Наличие сменных кресел-колясок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w:t>
            </w:r>
            <w:r w:rsidRPr="001F66D9">
              <w:lastRenderedPageBreak/>
              <w:t>дистанционном режиме или на дому  Часть получателей услуг не удовлетворены доброжелательностью и вежливостью работников организации. Часть получателей услуг не удовлетворены организационными или иными условиями оказания услуг и/или не готовы рекомендовать данную организацию другим людям.</w:t>
            </w:r>
          </w:p>
        </w:tc>
        <w:tc>
          <w:tcPr>
            <w:tcW w:w="2219" w:type="dxa"/>
          </w:tcPr>
          <w:p w:rsidR="00EC650B" w:rsidRPr="001F66D9" w:rsidRDefault="00EC650B" w:rsidP="001F66D9">
            <w:r w:rsidRPr="001F66D9">
              <w:lastRenderedPageBreak/>
              <w:t xml:space="preserve">Поддерживать открытость и доступность информации, производить регулярный аудит информации, представленной на сайте и стенде организации. Обеспечить указанные </w:t>
            </w:r>
            <w:r w:rsidRPr="001F66D9">
              <w:lastRenderedPageBreak/>
              <w:t xml:space="preserve">недостающие материалы. Поддерживать комфортность условий предоставления услуг на высоком уровне, продолжать учитывать мнение получателей услуг. Обеспечить указанные недостающие условия доступной среды для инвалидов. </w:t>
            </w:r>
            <w:proofErr w:type="gramStart"/>
            <w:r w:rsidRPr="001F66D9">
              <w:t>Повышать уровень доброжелательности и вежливости работников, оказывающих услуги, в том числе дистанционно (Проведение разъяснительной работы с сотрудниками по вопросам соблюдения общих принципов профессиональной и служебной этики.</w:t>
            </w:r>
            <w:proofErr w:type="gramEnd"/>
            <w:r w:rsidRPr="001F66D9">
              <w:t xml:space="preserve"> Проведение специализированны</w:t>
            </w:r>
            <w:r w:rsidRPr="001F66D9">
              <w:lastRenderedPageBreak/>
              <w:t xml:space="preserve">х деловых игр по образцу тренинга "Живет повсюду доброта" и других аналогичных. </w:t>
            </w:r>
            <w:proofErr w:type="gramStart"/>
            <w:r w:rsidRPr="001F66D9">
              <w:t xml:space="preserve">Сплочение коллектива, развитие </w:t>
            </w:r>
            <w:proofErr w:type="spellStart"/>
            <w:r w:rsidRPr="001F66D9">
              <w:t>эмпатии</w:t>
            </w:r>
            <w:proofErr w:type="spellEnd"/>
            <w:r w:rsidRPr="001F66D9">
              <w:t>, коммуникативных способностей, позитивных эмоций) Повышать качество организационных и других условий оказания услуг, регулярно проводить опросы получателей услуг, для дальнейшего удовлетворения их потребностей (при возможности).</w:t>
            </w:r>
            <w:proofErr w:type="gramEnd"/>
          </w:p>
        </w:tc>
      </w:tr>
    </w:tbl>
    <w:p w:rsidR="00243769" w:rsidRDefault="00243769"/>
    <w:sectPr w:rsidR="00243769" w:rsidSect="0024376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A8" w:rsidRDefault="00504DA8" w:rsidP="00B94437">
      <w:pPr>
        <w:spacing w:after="0" w:line="240" w:lineRule="auto"/>
      </w:pPr>
      <w:r>
        <w:separator/>
      </w:r>
    </w:p>
  </w:endnote>
  <w:endnote w:type="continuationSeparator" w:id="0">
    <w:p w:rsidR="00504DA8" w:rsidRDefault="00504DA8" w:rsidP="00B94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A8" w:rsidRDefault="00504DA8" w:rsidP="00B94437">
      <w:pPr>
        <w:spacing w:after="0" w:line="240" w:lineRule="auto"/>
      </w:pPr>
      <w:r>
        <w:separator/>
      </w:r>
    </w:p>
  </w:footnote>
  <w:footnote w:type="continuationSeparator" w:id="0">
    <w:p w:rsidR="00504DA8" w:rsidRDefault="00504DA8" w:rsidP="00B944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3769"/>
    <w:rsid w:val="001867F1"/>
    <w:rsid w:val="001F66D9"/>
    <w:rsid w:val="00243769"/>
    <w:rsid w:val="00504DA8"/>
    <w:rsid w:val="00B94437"/>
    <w:rsid w:val="00EC6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9443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94437"/>
  </w:style>
  <w:style w:type="paragraph" w:styleId="a6">
    <w:name w:val="footer"/>
    <w:basedOn w:val="a"/>
    <w:link w:val="a7"/>
    <w:uiPriority w:val="99"/>
    <w:semiHidden/>
    <w:unhideWhenUsed/>
    <w:rsid w:val="00B9443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4437"/>
  </w:style>
  <w:style w:type="paragraph" w:styleId="a8">
    <w:name w:val="Title"/>
    <w:basedOn w:val="a"/>
    <w:next w:val="a"/>
    <w:link w:val="a9"/>
    <w:uiPriority w:val="10"/>
    <w:qFormat/>
    <w:rsid w:val="00EC6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C650B"/>
    <w:rPr>
      <w:rFonts w:asciiTheme="majorHAnsi" w:eastAsiaTheme="majorEastAsia" w:hAnsiTheme="majorHAnsi" w:cstheme="majorBidi"/>
      <w:color w:val="17365D" w:themeColor="text2" w:themeShade="BF"/>
      <w:spacing w:val="5"/>
      <w:kern w:val="28"/>
      <w:sz w:val="52"/>
      <w:szCs w:val="52"/>
    </w:rPr>
  </w:style>
  <w:style w:type="character" w:styleId="aa">
    <w:name w:val="Subtle Emphasis"/>
    <w:basedOn w:val="a0"/>
    <w:uiPriority w:val="19"/>
    <w:qFormat/>
    <w:rsid w:val="00EC650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2023-01-29T12:34:00Z</dcterms:created>
  <dcterms:modified xsi:type="dcterms:W3CDTF">2023-01-29T13:08:00Z</dcterms:modified>
</cp:coreProperties>
</file>